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0400" w14:textId="7BF58DF5" w:rsidR="00057371" w:rsidRPr="00057371" w:rsidRDefault="00057371" w:rsidP="00637DDC">
      <w:pPr>
        <w:spacing w:before="120" w:after="120" w:line="252" w:lineRule="auto"/>
        <w:ind w:right="424"/>
        <w:jc w:val="right"/>
        <w:rPr>
          <w:rFonts w:ascii="Times New Roman" w:eastAsia="Arial" w:hAnsi="Times New Roman" w:cs="Times New Roman"/>
          <w:b/>
          <w:i/>
          <w:noProof/>
          <w:sz w:val="28"/>
          <w:szCs w:val="28"/>
        </w:rPr>
      </w:pPr>
      <w:r w:rsidRPr="008F1648">
        <w:rPr>
          <w:rFonts w:ascii="Times New Roman" w:eastAsia="Arial" w:hAnsi="Times New Roman" w:cs="Times New Roman"/>
          <w:b/>
          <w:i/>
          <w:noProof/>
          <w:sz w:val="28"/>
          <w:szCs w:val="28"/>
          <w:lang w:val="ru-RU"/>
        </w:rPr>
        <w:t>1-</w:t>
      </w:r>
      <w:r w:rsidR="008F1648">
        <w:rPr>
          <w:rFonts w:ascii="Times New Roman" w:eastAsia="Arial" w:hAnsi="Times New Roman" w:cs="Times New Roman"/>
          <w:b/>
          <w:i/>
          <w:noProof/>
          <w:sz w:val="28"/>
          <w:szCs w:val="28"/>
        </w:rPr>
        <w:t>илова</w:t>
      </w:r>
    </w:p>
    <w:p w14:paraId="64EA63F1" w14:textId="6FBE8323" w:rsidR="00057371" w:rsidRPr="00057371" w:rsidRDefault="008F1648" w:rsidP="00637DDC">
      <w:pPr>
        <w:spacing w:before="120" w:after="120" w:line="252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</w:pPr>
      <w:r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Ўзбекистон</w:t>
      </w:r>
      <w:r w:rsidR="00005EBB"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 xml:space="preserve"> </w:t>
      </w:r>
      <w:r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миллий</w:t>
      </w:r>
      <w:r w:rsidR="00005EBB"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 xml:space="preserve"> </w:t>
      </w:r>
      <w:r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телерадиокомпанияси</w:t>
      </w:r>
      <w:r w:rsidR="00005EBB"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ички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аудит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хизматининг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br/>
        <w:t>202</w:t>
      </w:r>
      <w:r w:rsidR="005B269A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5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-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йил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4A090C" w:rsidRPr="004A090C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3</w:t>
      </w:r>
      <w:r w:rsidR="005B269A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-</w:t>
      </w:r>
      <w:r w:rsidR="004A090C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чорак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фаолияти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б</w:t>
      </w:r>
      <w:r w:rsidR="005B269A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ў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йича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br/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Ҳ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И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С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О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Б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О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Т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И</w:t>
      </w:r>
    </w:p>
    <w:p w14:paraId="0F08FCA1" w14:textId="77777777" w:rsidR="00057371" w:rsidRPr="00057371" w:rsidRDefault="00057371" w:rsidP="00637DDC">
      <w:pPr>
        <w:spacing w:before="120" w:after="120" w:line="252" w:lineRule="auto"/>
        <w:rPr>
          <w:rFonts w:ascii="Times New Roman" w:eastAsia="Arial" w:hAnsi="Times New Roman" w:cs="Times New Roman"/>
          <w:b/>
          <w:noProof/>
          <w:sz w:val="28"/>
          <w:szCs w:val="28"/>
        </w:rPr>
      </w:pPr>
    </w:p>
    <w:p w14:paraId="66D06B6D" w14:textId="503305E7" w:rsidR="00057371" w:rsidRPr="00057371" w:rsidRDefault="00057371" w:rsidP="00637D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05737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1. </w:t>
      </w:r>
      <w:r w:rsidR="008F164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Умумий</w:t>
      </w:r>
      <w:r w:rsidRPr="0005737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</w:t>
      </w:r>
      <w:r w:rsidR="0041159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лумотлар</w:t>
      </w:r>
      <w:r w:rsidRPr="0005737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</w:p>
    <w:p w14:paraId="1DCDB19E" w14:textId="41E99CD0" w:rsidR="00695456" w:rsidRPr="00695456" w:rsidRDefault="00695456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Ўзбекистон миллий телерадиокомпаниясининг тегишли буйруқларига асосан Марказий аппаратда </w:t>
      </w:r>
      <w:r w:rsidR="004A090C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9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та штат бирлигидан иборат “Ички аудит </w:t>
      </w:r>
      <w:r w:rsidR="00D0236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” ташкил этилган бўлиб, ўрнатилган тартибда мазкур </w:t>
      </w:r>
      <w:r w:rsidR="00D0236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нинг Низоми ва ходимларнинг лавозим мажбуриятлари тасдиқланган. Ҳозирги кунда </w:t>
      </w:r>
      <w:r w:rsidR="005351D4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нафар ходимдан иборат ички аудит </w:t>
      </w:r>
      <w:r w:rsidR="00223190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ўз фаолиятини амалга оширмоқда. </w:t>
      </w:r>
    </w:p>
    <w:p w14:paraId="7723C732" w14:textId="15B43507" w:rsidR="00695456" w:rsidRPr="00695456" w:rsidRDefault="00695456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Ички аудит </w:t>
      </w:r>
      <w:r w:rsidR="00BA2B31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ru-RU"/>
        </w:rPr>
        <w:t>бош</w:t>
      </w:r>
      <w:r w:rsidR="00BA2B31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қармасида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5351D4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нафар ходимлари томонидан Ўзбекистон аудиторлар палатасидан ички аудит миллий</w:t>
      </w:r>
      <w:r w:rsidR="005351D4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малака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сертификати олинган.</w:t>
      </w:r>
    </w:p>
    <w:p w14:paraId="64B6249D" w14:textId="401C36C3" w:rsidR="00057371" w:rsidRDefault="00695456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Тизимда жами </w:t>
      </w:r>
      <w:r w:rsidR="005B269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25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та ташкилотлар мавжуд бўлиб, шундан давлат муассасалари 1</w:t>
      </w:r>
      <w:r w:rsidR="005B269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тани, ҳудудий бўлинмалар 13 тани ва акциядорлик жамияти 1 тани ташкил этади.</w:t>
      </w:r>
    </w:p>
    <w:p w14:paraId="7B48940B" w14:textId="77777777" w:rsidR="00FA43E6" w:rsidRPr="00FA43E6" w:rsidRDefault="00FA43E6" w:rsidP="00695456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12"/>
          <w:szCs w:val="12"/>
        </w:rPr>
      </w:pPr>
    </w:p>
    <w:p w14:paraId="3AA78A14" w14:textId="6A8156C8" w:rsidR="00057371" w:rsidRPr="00341043" w:rsidRDefault="00057371" w:rsidP="00637D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2. 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йиллик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режасида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тасдиқланган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тадбирларининг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ҳисобот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даврида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режалаштирилган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қисмининг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бажарилиши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ҳолати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3D22F862" w14:textId="76863576" w:rsidR="00061E81" w:rsidRPr="00223190" w:rsidRDefault="00610614" w:rsidP="0099105B">
      <w:pPr>
        <w:pStyle w:val="a8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Ўзбекистон Миллий телерадиокомпанияси Ички аудит </w:t>
      </w:r>
      <w:r w:rsidR="00223190" w:rsidRPr="00223190">
        <w:rPr>
          <w:rFonts w:ascii="Times New Roman" w:hAnsi="Times New Roman" w:cs="Times New Roman"/>
          <w:noProof/>
          <w:sz w:val="28"/>
          <w:szCs w:val="28"/>
        </w:rPr>
        <w:t>бошқармас</w:t>
      </w:r>
      <w:r w:rsidRPr="00223190">
        <w:rPr>
          <w:rFonts w:ascii="Times New Roman" w:hAnsi="Times New Roman" w:cs="Times New Roman"/>
          <w:noProof/>
          <w:sz w:val="28"/>
          <w:szCs w:val="28"/>
        </w:rPr>
        <w:t>ининг 202</w:t>
      </w:r>
      <w:r w:rsidR="005B269A" w:rsidRPr="00223190">
        <w:rPr>
          <w:rFonts w:ascii="Times New Roman" w:hAnsi="Times New Roman" w:cs="Times New Roman"/>
          <w:noProof/>
          <w:sz w:val="28"/>
          <w:szCs w:val="28"/>
        </w:rPr>
        <w:t>5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йил </w:t>
      </w:r>
      <w:r w:rsidR="00223190" w:rsidRPr="00223190">
        <w:rPr>
          <w:rFonts w:ascii="Times New Roman" w:hAnsi="Times New Roman" w:cs="Times New Roman"/>
          <w:noProof/>
          <w:sz w:val="28"/>
          <w:szCs w:val="28"/>
        </w:rPr>
        <w:t>учун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тасдиқланган йиллик дастурига асосан </w:t>
      </w:r>
      <w:r w:rsidR="00D645EA">
        <w:rPr>
          <w:rFonts w:ascii="Times New Roman" w:hAnsi="Times New Roman" w:cs="Times New Roman"/>
          <w:noProof/>
          <w:sz w:val="28"/>
          <w:szCs w:val="28"/>
        </w:rPr>
        <w:t xml:space="preserve">9 та </w:t>
      </w:r>
      <w:r w:rsidRPr="00341043">
        <w:rPr>
          <w:rFonts w:ascii="Times New Roman" w:hAnsi="Times New Roman" w:cs="Times New Roman"/>
          <w:noProof/>
          <w:sz w:val="28"/>
          <w:szCs w:val="28"/>
        </w:rPr>
        <w:t>объект</w:t>
      </w:r>
      <w:r w:rsidR="00D645EA">
        <w:rPr>
          <w:rFonts w:ascii="Times New Roman" w:hAnsi="Times New Roman" w:cs="Times New Roman"/>
          <w:noProof/>
          <w:sz w:val="28"/>
          <w:szCs w:val="28"/>
        </w:rPr>
        <w:t>да</w:t>
      </w:r>
      <w:r w:rsidRPr="00341043">
        <w:rPr>
          <w:rFonts w:ascii="Times New Roman" w:hAnsi="Times New Roman" w:cs="Times New Roman"/>
          <w:noProof/>
          <w:sz w:val="28"/>
          <w:szCs w:val="28"/>
        </w:rPr>
        <w:t xml:space="preserve">  назорат тадбири ўтказилиши режалаштирилган</w:t>
      </w:r>
      <w:r w:rsidR="001636B6" w:rsidRPr="00341043">
        <w:rPr>
          <w:rFonts w:ascii="Times New Roman" w:hAnsi="Times New Roman" w:cs="Times New Roman"/>
          <w:noProof/>
          <w:sz w:val="28"/>
          <w:szCs w:val="28"/>
        </w:rPr>
        <w:t>.</w:t>
      </w:r>
      <w:r w:rsidRPr="0034104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 xml:space="preserve">2025 йил 1 </w:t>
      </w:r>
      <w:r w:rsidR="00812956">
        <w:rPr>
          <w:rFonts w:ascii="Times New Roman" w:hAnsi="Times New Roman" w:cs="Times New Roman"/>
          <w:noProof/>
          <w:sz w:val="28"/>
          <w:szCs w:val="28"/>
        </w:rPr>
        <w:t>октябр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 xml:space="preserve"> ҳолатига </w:t>
      </w:r>
      <w:r w:rsidR="00812956">
        <w:rPr>
          <w:rFonts w:ascii="Times New Roman" w:hAnsi="Times New Roman" w:cs="Times New Roman"/>
          <w:noProof/>
          <w:sz w:val="28"/>
          <w:szCs w:val="28"/>
        </w:rPr>
        <w:t>9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 xml:space="preserve"> та объект</w:t>
      </w:r>
      <w:r w:rsidR="00C8062D" w:rsidRPr="00341043">
        <w:rPr>
          <w:rFonts w:ascii="Times New Roman" w:hAnsi="Times New Roman" w:cs="Times New Roman"/>
          <w:noProof/>
          <w:sz w:val="28"/>
          <w:szCs w:val="28"/>
        </w:rPr>
        <w:t>да назорат тадбири ўтказили</w:t>
      </w:r>
      <w:r w:rsidR="001636B6" w:rsidRPr="00341043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="001636B6" w:rsidRPr="00341043">
        <w:rPr>
          <w:rFonts w:ascii="Times New Roman" w:hAnsi="Times New Roman" w:cs="Times New Roman"/>
          <w:i/>
          <w:noProof/>
          <w:sz w:val="28"/>
          <w:szCs w:val="28"/>
        </w:rPr>
        <w:t xml:space="preserve">(режага нисбатан </w:t>
      </w:r>
      <w:r w:rsidR="00FC6A99" w:rsidRPr="00341043">
        <w:rPr>
          <w:rFonts w:ascii="Times New Roman" w:hAnsi="Times New Roman" w:cs="Times New Roman"/>
          <w:i/>
          <w:noProof/>
          <w:sz w:val="28"/>
          <w:szCs w:val="28"/>
        </w:rPr>
        <w:t>100</w:t>
      </w:r>
      <w:r w:rsidR="001636B6" w:rsidRPr="00341043">
        <w:rPr>
          <w:rFonts w:ascii="Times New Roman" w:hAnsi="Times New Roman" w:cs="Times New Roman"/>
          <w:i/>
          <w:noProof/>
          <w:sz w:val="28"/>
          <w:szCs w:val="28"/>
        </w:rPr>
        <w:t xml:space="preserve"> %)</w:t>
      </w:r>
      <w:r w:rsidR="001636B6" w:rsidRPr="0034104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Hlk187757698"/>
      <w:bookmarkStart w:id="1" w:name="_Hlk203468028"/>
      <w:r w:rsidR="001636B6" w:rsidRPr="00341043">
        <w:rPr>
          <w:rFonts w:ascii="Times New Roman" w:hAnsi="Times New Roman" w:cs="Times New Roman"/>
          <w:noProof/>
          <w:sz w:val="28"/>
          <w:szCs w:val="28"/>
        </w:rPr>
        <w:t>ҳисобот расмийлаштирилди ҳамда зарур таклиф ва тавсиялар берил</w:t>
      </w:r>
      <w:r w:rsidR="0078197B" w:rsidRPr="00341043">
        <w:rPr>
          <w:rFonts w:ascii="Times New Roman" w:hAnsi="Times New Roman" w:cs="Times New Roman"/>
          <w:noProof/>
          <w:sz w:val="28"/>
          <w:szCs w:val="28"/>
        </w:rPr>
        <w:t>ди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>.</w:t>
      </w:r>
      <w:bookmarkEnd w:id="0"/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2025 йил</w:t>
      </w:r>
      <w:r w:rsidR="00D645EA">
        <w:rPr>
          <w:rFonts w:ascii="Times New Roman" w:hAnsi="Times New Roman" w:cs="Times New Roman"/>
          <w:noProof/>
          <w:sz w:val="28"/>
          <w:szCs w:val="28"/>
        </w:rPr>
        <w:br/>
      </w:r>
      <w:r w:rsidR="004A090C">
        <w:rPr>
          <w:rFonts w:ascii="Times New Roman" w:hAnsi="Times New Roman" w:cs="Times New Roman"/>
          <w:noProof/>
          <w:sz w:val="28"/>
          <w:szCs w:val="28"/>
        </w:rPr>
        <w:t>1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66973">
        <w:rPr>
          <w:rFonts w:ascii="Times New Roman" w:hAnsi="Times New Roman" w:cs="Times New Roman"/>
          <w:noProof/>
          <w:sz w:val="28"/>
          <w:szCs w:val="28"/>
        </w:rPr>
        <w:t>октябр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ҳолатига берилган таклиф ва тавсиялар учун назорат тадбир ўтказилган объектлар томонидан чора-тадбирлар қилиниб ижроси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7A36" w:rsidRPr="000D6223">
        <w:rPr>
          <w:rFonts w:ascii="Times New Roman" w:hAnsi="Times New Roman" w:cs="Times New Roman"/>
          <w:noProof/>
          <w:sz w:val="28"/>
          <w:szCs w:val="28"/>
        </w:rPr>
        <w:t>1</w:t>
      </w:r>
      <w:r w:rsidR="00066973">
        <w:rPr>
          <w:rFonts w:ascii="Times New Roman" w:hAnsi="Times New Roman" w:cs="Times New Roman"/>
          <w:noProof/>
          <w:sz w:val="28"/>
          <w:szCs w:val="28"/>
        </w:rPr>
        <w:t>00</w:t>
      </w:r>
      <w:r w:rsidR="007563B3">
        <w:rPr>
          <w:rFonts w:ascii="Times New Roman" w:hAnsi="Times New Roman" w:cs="Times New Roman"/>
          <w:noProof/>
          <w:sz w:val="28"/>
          <w:szCs w:val="28"/>
        </w:rPr>
        <w:t>%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таъминланган.</w:t>
      </w:r>
      <w:bookmarkEnd w:id="1"/>
    </w:p>
    <w:p w14:paraId="6434E7D1" w14:textId="2B3C846F" w:rsidR="009B4F72" w:rsidRPr="00223190" w:rsidRDefault="0078197B" w:rsidP="0099105B">
      <w:pPr>
        <w:pStyle w:val="a8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190">
        <w:rPr>
          <w:rFonts w:ascii="Times New Roman" w:hAnsi="Times New Roman" w:cs="Times New Roman"/>
          <w:noProof/>
          <w:sz w:val="28"/>
          <w:szCs w:val="28"/>
        </w:rPr>
        <w:t>202</w:t>
      </w:r>
      <w:r w:rsidR="00FC6A99" w:rsidRPr="00223190">
        <w:rPr>
          <w:rFonts w:ascii="Times New Roman" w:hAnsi="Times New Roman" w:cs="Times New Roman"/>
          <w:noProof/>
          <w:sz w:val="28"/>
          <w:szCs w:val="28"/>
        </w:rPr>
        <w:t>5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йил </w:t>
      </w:r>
      <w:r w:rsidR="00066973">
        <w:rPr>
          <w:rFonts w:ascii="Times New Roman" w:hAnsi="Times New Roman" w:cs="Times New Roman"/>
          <w:noProof/>
          <w:sz w:val="28"/>
          <w:szCs w:val="28"/>
        </w:rPr>
        <w:t>3</w:t>
      </w:r>
      <w:r w:rsidRPr="00223190">
        <w:rPr>
          <w:rFonts w:ascii="Times New Roman" w:hAnsi="Times New Roman" w:cs="Times New Roman"/>
          <w:noProof/>
          <w:sz w:val="28"/>
          <w:szCs w:val="28"/>
        </w:rPr>
        <w:t>-чорак</w:t>
      </w:r>
      <w:r w:rsidR="00D645EA">
        <w:rPr>
          <w:rFonts w:ascii="Times New Roman" w:hAnsi="Times New Roman" w:cs="Times New Roman"/>
          <w:noProof/>
          <w:sz w:val="28"/>
          <w:szCs w:val="28"/>
        </w:rPr>
        <w:t xml:space="preserve"> давомида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режадан ташқари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45EA">
        <w:rPr>
          <w:rFonts w:ascii="Times New Roman" w:hAnsi="Times New Roman" w:cs="Times New Roman"/>
          <w:noProof/>
          <w:sz w:val="28"/>
          <w:szCs w:val="28"/>
        </w:rPr>
        <w:t>2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назорат тадбири</w:t>
      </w:r>
      <w:r w:rsidR="00812956">
        <w:rPr>
          <w:rFonts w:ascii="Times New Roman" w:hAnsi="Times New Roman" w:cs="Times New Roman"/>
          <w:noProof/>
          <w:sz w:val="28"/>
          <w:szCs w:val="28"/>
        </w:rPr>
        <w:t xml:space="preserve">да 4 та объект назоратдан </w:t>
      </w:r>
      <w:r w:rsidRPr="00223190">
        <w:rPr>
          <w:rFonts w:ascii="Times New Roman" w:hAnsi="Times New Roman" w:cs="Times New Roman"/>
          <w:noProof/>
          <w:sz w:val="28"/>
          <w:szCs w:val="28"/>
        </w:rPr>
        <w:t>ўтказил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б, 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 xml:space="preserve">ҳисобот расмийлаштирилди ҳамда зарур таклиф ва тавсиялар берилди. </w:t>
      </w:r>
      <w:r w:rsidR="007563B3">
        <w:rPr>
          <w:rFonts w:ascii="Times New Roman" w:hAnsi="Times New Roman" w:cs="Times New Roman"/>
          <w:noProof/>
          <w:sz w:val="28"/>
          <w:szCs w:val="28"/>
        </w:rPr>
        <w:t>Б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 xml:space="preserve">ерилган таклиф ва тавсиялар учун назорат тадбир ўтказилган объектлар томонидан чора-тадбирлар қилиниб ижроси </w:t>
      </w:r>
      <w:r w:rsidR="007563B3">
        <w:rPr>
          <w:rFonts w:ascii="Times New Roman" w:hAnsi="Times New Roman" w:cs="Times New Roman"/>
          <w:noProof/>
          <w:sz w:val="28"/>
          <w:szCs w:val="28"/>
        </w:rPr>
        <w:t>100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>% таъминланган</w:t>
      </w:r>
      <w:r w:rsidR="004175FC" w:rsidRPr="00223190">
        <w:rPr>
          <w:rFonts w:ascii="Times New Roman" w:hAnsi="Times New Roman" w:cs="Times New Roman"/>
          <w:noProof/>
          <w:sz w:val="28"/>
          <w:szCs w:val="28"/>
        </w:rPr>
        <w:t>.</w:t>
      </w:r>
      <w:r w:rsidR="00D645EA">
        <w:rPr>
          <w:rFonts w:ascii="Times New Roman" w:hAnsi="Times New Roman" w:cs="Times New Roman"/>
          <w:noProof/>
          <w:sz w:val="28"/>
          <w:szCs w:val="28"/>
        </w:rPr>
        <w:t xml:space="preserve"> Жами </w:t>
      </w:r>
    </w:p>
    <w:p w14:paraId="756981C8" w14:textId="77777777" w:rsidR="00FA43E6" w:rsidRPr="00BB1631" w:rsidRDefault="00FA43E6" w:rsidP="005B513F">
      <w:pPr>
        <w:pStyle w:val="a8"/>
        <w:ind w:firstLine="720"/>
        <w:jc w:val="both"/>
        <w:rPr>
          <w:rFonts w:ascii="Times New Roman" w:hAnsi="Times New Roman" w:cs="Times New Roman"/>
          <w:noProof/>
          <w:sz w:val="10"/>
          <w:szCs w:val="10"/>
        </w:rPr>
      </w:pPr>
    </w:p>
    <w:p w14:paraId="6E87F6B1" w14:textId="6BA4C9DE" w:rsidR="00C72367" w:rsidRPr="00BB1631" w:rsidRDefault="00057371" w:rsidP="00637D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"/>
          <w:szCs w:val="2"/>
        </w:rPr>
      </w:pP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3. 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Ҳисобот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даврида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1636B6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тказилиши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режалаштирилган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,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лекин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амалга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оширилмаган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тадбирлари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</w:t>
      </w:r>
      <w:r w:rsidR="001636B6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ўғ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рисидаги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</w:t>
      </w:r>
      <w:r w:rsidR="001636B6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лумотлар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611B6E16" w14:textId="248A7B48" w:rsidR="007A3F3D" w:rsidRPr="00BB1631" w:rsidRDefault="005A57A7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Хисобот даврида </w:t>
      </w:r>
      <w:r w:rsidR="00D645E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3</w:t>
      </w:r>
      <w:r w:rsidRP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-чорак режасида бўлган барча тадбирлар мониторингдан ўтказилиб хисобот шакллантирилган ҳамда давлат аудит дастурига</w:t>
      </w:r>
      <w:r w:rsidR="003A7DC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тўлиқ</w:t>
      </w:r>
      <w:r w:rsidRP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киритилган</w:t>
      </w:r>
      <w:r w:rsidR="001636B6" w:rsidRPr="00BB1631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2BBA47B9" w14:textId="63B2E581" w:rsidR="00057371" w:rsidRPr="00B5333F" w:rsidRDefault="00057371" w:rsidP="007A3F3D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4. 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об</w:t>
      </w:r>
      <w:r w:rsidR="00892770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ектлари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томонидан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чора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-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тадбирлар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режасининг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бажарилиши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</w:t>
      </w:r>
      <w:r w:rsidR="00315C43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ўғ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рисидаги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</w:t>
      </w:r>
      <w:r w:rsidR="00315C43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лумотлар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532E0553" w14:textId="7C347DB9" w:rsidR="00057371" w:rsidRPr="00245625" w:rsidRDefault="000D6380" w:rsidP="00F42976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202</w:t>
      </w:r>
      <w:r w:rsidR="00FC6A99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5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 </w:t>
      </w:r>
      <w:r w:rsidR="00D645EA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3</w:t>
      </w:r>
      <w:r w:rsidR="00B5333F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-чорак 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дав</w:t>
      </w:r>
      <w:r w:rsidR="00B5333F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ри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да ички аудит йиллик режаси асосидаги ички аудит тадбирлари натижасида берилган таклиф ва тавсиялар </w:t>
      </w:r>
      <w:r w:rsidR="00892770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режа бўйича назорат тадбири ўтказилган жами </w:t>
      </w:r>
      <w:r w:rsidR="00D645EA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11</w:t>
      </w:r>
      <w:r w:rsidR="00892770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та объект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учун </w:t>
      </w:r>
      <w:r w:rsidR="00245625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51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та 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таклиф ва тавсиялар берилди 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lastRenderedPageBreak/>
        <w:t xml:space="preserve">ҳамда </w:t>
      </w:r>
      <w:r w:rsidR="00B5333F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чорак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якуни билан ушбу таклиф ва тавсиялар назорат тадбири ўтказилган объект томонидан </w:t>
      </w:r>
      <w:r w:rsidR="00245625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100</w:t>
      </w:r>
      <w:r w:rsidR="003A7DC6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% га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бажарилди.</w:t>
      </w:r>
    </w:p>
    <w:p w14:paraId="1146373C" w14:textId="7189B245" w:rsidR="00FC6398" w:rsidRDefault="00FC6398" w:rsidP="00F42976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5</w:t>
      </w:r>
      <w:r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палатасининг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"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Масофавий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назорат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"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ААТ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орқали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келиб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тушган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хавф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таҳлиллари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1CB54BAE" w14:textId="2DADD369" w:rsidR="00FC6398" w:rsidRPr="00D83703" w:rsidRDefault="00D83703" w:rsidP="00F42976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  <w:highlight w:val="yellow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Жорий йилнинг </w:t>
      </w:r>
      <w:r w:rsidR="009218CB">
        <w:rPr>
          <w:rFonts w:ascii="Times New Roman" w:eastAsia="Arial" w:hAnsi="Times New Roman" w:cs="Times New Roman"/>
          <w:iCs/>
          <w:noProof/>
          <w:sz w:val="28"/>
          <w:szCs w:val="28"/>
        </w:rPr>
        <w:t>3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-чора</w:t>
      </w:r>
      <w:r w:rsidR="00DE1B87">
        <w:rPr>
          <w:rFonts w:ascii="Times New Roman" w:eastAsia="Arial" w:hAnsi="Times New Roman" w:cs="Times New Roman"/>
          <w:iCs/>
          <w:noProof/>
          <w:sz w:val="28"/>
          <w:szCs w:val="28"/>
        </w:rPr>
        <w:t>к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даврида</w:t>
      </w:r>
      <w:r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палатасининг</w:t>
      </w:r>
      <w:r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"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Масофавий</w:t>
      </w:r>
      <w:r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назорат</w:t>
      </w:r>
      <w:r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"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ААТ</w:t>
      </w:r>
      <w:r w:rsidR="00B928A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дан компания тизимидаги ташкилотлардан аниқланган хатарлар тўғрисидаги маълумотлар келиб тушмади.</w:t>
      </w:r>
    </w:p>
    <w:p w14:paraId="278F1D64" w14:textId="496662C0" w:rsidR="00057371" w:rsidRPr="00223190" w:rsidRDefault="00FC6398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6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хизмати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сифатини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</w:t>
      </w:r>
      <w:r w:rsidR="00B44A8B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минлаш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(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баҳолаш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)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ошириш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B44A8B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амалга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оширилган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ишлар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0A9A0676" w14:textId="77777777" w:rsidR="00F579DB" w:rsidRPr="00223190" w:rsidRDefault="00F579DB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хизмати фаолиятининг сифатини баҳолаш ва ошириш юзасидан чора-тадбирлар режаси бўйича қуйидаги ишлар амалга оширилди:</w:t>
      </w:r>
    </w:p>
    <w:p w14:paraId="112AF458" w14:textId="3BBAAD8E" w:rsidR="003A7DC6" w:rsidRDefault="003A7DC6" w:rsidP="003A7DC6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бўлими томонидан йиллик иш режа</w:t>
      </w:r>
      <w:r w:rsidR="00F405D1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бўйича 3-чорак давомида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белгиланган объектлар</w:t>
      </w:r>
      <w:r w:rsidR="00F405D1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тўлиқ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назорат тадбирдан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>щтказилган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3FA021B0" w14:textId="3EE03044" w:rsidR="003A7DC6" w:rsidRPr="003A7DC6" w:rsidRDefault="003A7DC6" w:rsidP="003A7DC6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объектлари томонидан чора-тадбирлар режасида белгиланган вазифаларнинг бажарилиши ўз вақтида таъминлан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>ган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2C9E9FB0" w14:textId="61A4FA80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объектларининг молиявий фаолиятида хавфларнинг юзага келишига таъсир этувчи омилларни ҳисобга олган ҳолда хавф омиллари белгиланди;</w:t>
      </w:r>
    </w:p>
    <w:p w14:paraId="607821EE" w14:textId="55CA4FB2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йиллик режасини ишлаб чиқишда ички аудит объектларини тўлиқ қамраб олган ҳолда хавф таҳлили амалга оширилди;</w:t>
      </w:r>
    </w:p>
    <w:p w14:paraId="5AF2DCEC" w14:textId="1B44A2E1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тадбирлари ўтказилиши тўғрисида ички аудит объектини белгиланган тартибда хабардор қилиб борилган;</w:t>
      </w:r>
    </w:p>
    <w:p w14:paraId="2F2FBCBC" w14:textId="37C23FD2" w:rsidR="00F579DB" w:rsidRPr="003A7DC6" w:rsidRDefault="00F579DB" w:rsidP="003A7DC6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тадбирлари натижалари бўйича ҳисоботда ички аудит объектининг фикр-мулоҳазалари билдирилиши йўлга қўйилган;</w:t>
      </w:r>
    </w:p>
    <w:p w14:paraId="69642FD4" w14:textId="60621B79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бўлими томонидан чора-тадбирлар режасининг ижроси юзасидан доимий мониторинг олиб борилиши таъминланган;</w:t>
      </w:r>
    </w:p>
    <w:p w14:paraId="6E14D49E" w14:textId="4321DC12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тадбирлари натижасида энг кўп аниқланаётган хато ва камчиликларнинг юзага келиш сабаблари  таҳлилий ўрганилган;</w:t>
      </w:r>
    </w:p>
    <w:p w14:paraId="050478C2" w14:textId="420A57E0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ўрганиш таҳлилларидан келиб чиқиб, хато ва камчиликларнинг олдини олишга (профилактикага) қаратилган тизим йўлга қўйилган;</w:t>
      </w:r>
    </w:p>
    <w:p w14:paraId="21DA082A" w14:textId="4F92F00E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фаолиятида замонавий ахборот технологияларидан фойдаланган ҳолда масофавий аудитни амалга ошириш чоралари тўлиқ кўрилган;</w:t>
      </w:r>
    </w:p>
    <w:p w14:paraId="5310216D" w14:textId="2F798FA0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ушбу муассасаларда молиявий-хўжалик фаолияти бўйича ўтказилган назорат ишларига оид ҳужжатларнинг ҳисобини юритиш тизими йўлга қўйилган</w:t>
      </w:r>
      <w:r w:rsidR="004D5F5C"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20C01BE2" w14:textId="0460AF78" w:rsidR="0083198A" w:rsidRPr="00223190" w:rsidRDefault="004D5F5C" w:rsidP="0056184D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самардорлик индикаторлари хар чоракда тўғри белгиланиши таҳлил қилиш асосида бажариб келинмоқда.</w:t>
      </w:r>
    </w:p>
    <w:p w14:paraId="7E7B39B2" w14:textId="77777777" w:rsidR="00882D16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28A70DFC" w14:textId="77777777" w:rsidR="00882D16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6EF42F26" w14:textId="77777777" w:rsidR="00882D16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6E6D80CD" w14:textId="12E1DA1A" w:rsidR="00057371" w:rsidRPr="00B5333F" w:rsidRDefault="006578CD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lastRenderedPageBreak/>
        <w:t>7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043554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Ўзбекистон Миллий телерадиокомпанияси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тизимидаги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5919A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ҳисобидан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молиялаштирилмайдиган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ноб</w:t>
      </w:r>
      <w:r w:rsidR="005919A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муассаса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ташкилотларда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молиявий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-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</w:t>
      </w:r>
      <w:r w:rsidR="00724F9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жалик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724F9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724F9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тказилган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назорат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ишларига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оид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ҳужжатларнинг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мониторинги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юзасидан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амалга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оширилган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ишлар</w:t>
      </w:r>
    </w:p>
    <w:p w14:paraId="1D8E693E" w14:textId="02401158" w:rsidR="00223190" w:rsidRPr="00043554" w:rsidRDefault="00223190" w:rsidP="00223190">
      <w:pPr>
        <w:pStyle w:val="a8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Тизимдаги бюджет хисобидан молиялаштирилмайдиган</w:t>
      </w:r>
      <w:r w:rsidR="000435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3554" w:rsidRPr="00043554">
        <w:rPr>
          <w:rFonts w:ascii="Times New Roman" w:hAnsi="Times New Roman" w:cs="Times New Roman"/>
          <w:noProof/>
          <w:sz w:val="28"/>
          <w:szCs w:val="28"/>
        </w:rPr>
        <w:t>"</w:t>
      </w:r>
      <w:r w:rsidR="00043554">
        <w:rPr>
          <w:rFonts w:ascii="Times New Roman" w:hAnsi="Times New Roman" w:cs="Times New Roman"/>
          <w:noProof/>
          <w:sz w:val="28"/>
          <w:szCs w:val="28"/>
        </w:rPr>
        <w:t>Ёшлар</w:t>
      </w:r>
      <w:r w:rsidR="00043554" w:rsidRPr="000435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3554">
        <w:rPr>
          <w:rFonts w:ascii="Times New Roman" w:hAnsi="Times New Roman" w:cs="Times New Roman"/>
          <w:noProof/>
          <w:sz w:val="28"/>
          <w:szCs w:val="28"/>
        </w:rPr>
        <w:t>ижодий</w:t>
      </w:r>
      <w:r w:rsidR="00043554" w:rsidRPr="000435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3554">
        <w:rPr>
          <w:rFonts w:ascii="Times New Roman" w:hAnsi="Times New Roman" w:cs="Times New Roman"/>
          <w:noProof/>
          <w:sz w:val="28"/>
          <w:szCs w:val="28"/>
        </w:rPr>
        <w:t>бирлашмаси</w:t>
      </w:r>
      <w:r w:rsidR="00043554" w:rsidRPr="00043554">
        <w:rPr>
          <w:rFonts w:ascii="Times New Roman" w:hAnsi="Times New Roman" w:cs="Times New Roman"/>
          <w:noProof/>
          <w:sz w:val="28"/>
          <w:szCs w:val="28"/>
        </w:rPr>
        <w:t xml:space="preserve">" </w:t>
      </w:r>
      <w:r w:rsidR="00043554">
        <w:rPr>
          <w:rFonts w:ascii="Times New Roman" w:hAnsi="Times New Roman" w:cs="Times New Roman"/>
          <w:noProof/>
          <w:sz w:val="28"/>
          <w:szCs w:val="28"/>
        </w:rPr>
        <w:t>АЖ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да 2025 йил </w:t>
      </w:r>
      <w:r w:rsidR="00043554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>-чоракда</w:t>
      </w:r>
      <w:r w:rsidR="000435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43554" w:rsidRPr="00043554">
        <w:rPr>
          <w:rFonts w:ascii="Times New Roman" w:hAnsi="Times New Roman" w:cs="Times New Roman"/>
          <w:noProof/>
          <w:sz w:val="28"/>
          <w:szCs w:val="28"/>
        </w:rPr>
        <w:t>MChJ "TTT-AUDIT" AT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назорат қилувчи орган томонидан молиявий хўжалик фаолияти бўйича назорат ишлари ўтказилган.</w:t>
      </w:r>
      <w:r w:rsidR="0004355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3966B53" w14:textId="664F7FA1" w:rsidR="00B43EA4" w:rsidRPr="00223190" w:rsidRDefault="00223190" w:rsidP="00223190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18"/>
          <w:szCs w:val="1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w:t>Ички аудит бошқармаси томонидан ўтказилган назорат ишларига оид ҳужжатларнинг мониторинги йўлга қўйилган</w:t>
      </w:r>
      <w:r w:rsidR="007C4E8A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2E075E0" w14:textId="29A4B273" w:rsidR="00057371" w:rsidRPr="008D1C59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8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Аниқланган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тизимли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камчиликлар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,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хавфлар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уларнинг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олдини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олиш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ҳамда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бартараф этиш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B46C1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к</w:t>
      </w:r>
      <w:r w:rsidR="00B46C1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рилаётган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чоралар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(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таклиф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тавсиялар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)</w:t>
      </w:r>
    </w:p>
    <w:p w14:paraId="7816D73B" w14:textId="72770F65" w:rsidR="00057371" w:rsidRPr="008D1C59" w:rsidRDefault="00DE2C1A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Тизимдаги </w:t>
      </w:r>
      <w:r w:rsidR="008D1C59"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>А</w:t>
      </w:r>
      <w:r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ниқланган ҳолатларнинг олдини олиш (бартараф этиш) бўйича </w:t>
      </w:r>
      <w:r w:rsidR="008D1C59"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>тизимли таклиф ва тафсиялар берилган</w:t>
      </w:r>
      <w:r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4D2BCF16" w14:textId="77777777" w:rsidR="00804867" w:rsidRPr="00FC6A99" w:rsidRDefault="00804867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12"/>
          <w:szCs w:val="12"/>
          <w:highlight w:val="yellow"/>
        </w:rPr>
      </w:pPr>
    </w:p>
    <w:p w14:paraId="1F4BEFDE" w14:textId="0EA472B4" w:rsidR="00057371" w:rsidRPr="00223190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9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Давлат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органи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ташкилоти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фаолиятида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2E7C2A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интизомини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мустаҳкамлаш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хавфларни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профилактика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қилиш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ҳамда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2E7C2A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харажатлари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натижадорлиги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самарадорлигини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ошириш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бўйича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таклифлар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41A3D64D" w14:textId="77777777" w:rsidR="00804867" w:rsidRPr="00223190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1. Фуқаролик-ҳуқуқий шартнома асосида ишлаётган шахсларга юклатилган вазифалардан келиб чиқиб (мураккаблиги, масъулиятлиги, долзарблиги, иш ҳажми ва бошқа), ўрнатилган меъёрий ҳужжатларга таянган ҳолда, аниқ ҳисоб-китоблар асосида келишув суммасини белгилаш:</w:t>
      </w:r>
    </w:p>
    <w:p w14:paraId="45610DF5" w14:textId="77777777" w:rsidR="00804867" w:rsidRPr="00223190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бунда, Компания томонидан ўрнатилган тартибда ишлаб чиқилган Йўриқнома талабларига қатъий амал қилган ҳолда фуқаролик-ҳуқуқий шартномалар тузиш тавсия этилади.</w:t>
      </w:r>
    </w:p>
    <w:p w14:paraId="37613C82" w14:textId="4A21CA01" w:rsidR="00804867" w:rsidRPr="00223190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2. Реклама-тижорат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телеканал мусиқий тижорат дастурларида мусиқий клип ва номерларни эфирга узатилиши бўйича та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>ъ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рифлар ва ушбу та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>ъ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рифларга қўлланиладиган чегирмалар янги тартибини ишлаб чиқиш</w:t>
      </w:r>
      <w:r w:rsidR="00663956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447D7011" w14:textId="3A9C695F" w:rsidR="00057371" w:rsidRPr="00C50E13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ab/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10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хизмати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фаолиятини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ривожлантириш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B8509D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таклифлар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3EB59549" w14:textId="4B199A64" w:rsidR="00CC0FFC" w:rsidRDefault="00CC0FFC" w:rsidP="00CC0FFC">
      <w:pPr>
        <w:tabs>
          <w:tab w:val="left" w:pos="851"/>
          <w:tab w:val="left" w:pos="993"/>
        </w:tabs>
        <w:spacing w:before="120" w:after="120" w:line="240" w:lineRule="auto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хизмати фаолиятини ривожлантириш бўйича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қуйидаги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таклифлар ишлаб чиқилди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>:</w:t>
      </w:r>
    </w:p>
    <w:p w14:paraId="3044BBBB" w14:textId="4F8D563B" w:rsidR="007C4E8A" w:rsidRDefault="007C4E8A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и</w:t>
      </w:r>
      <w:r w:rsidRPr="007C4E8A">
        <w:rPr>
          <w:rFonts w:ascii="Times New Roman" w:eastAsia="Arial" w:hAnsi="Times New Roman" w:cs="Times New Roman"/>
          <w:noProof/>
          <w:sz w:val="28"/>
          <w:szCs w:val="28"/>
        </w:rPr>
        <w:t>чки аудит ходимларининг халқаро мезонларга мос билим ва кўникмаларини ошириш, аудит жараёнларини халқаро стандартлар даражасида ташкил этиш</w:t>
      </w:r>
      <w:r w:rsidR="00D364ED">
        <w:rPr>
          <w:rFonts w:ascii="Times New Roman" w:eastAsia="Arial" w:hAnsi="Times New Roman" w:cs="Times New Roman"/>
          <w:noProof/>
          <w:sz w:val="28"/>
          <w:szCs w:val="28"/>
        </w:rPr>
        <w:t xml:space="preserve"> мақсадида </w:t>
      </w:r>
      <w:r w:rsidR="00D364ED" w:rsidRPr="00D364ED">
        <w:rPr>
          <w:rFonts w:ascii="Times New Roman" w:eastAsia="Arial" w:hAnsi="Times New Roman" w:cs="Times New Roman"/>
          <w:noProof/>
          <w:sz w:val="28"/>
          <w:szCs w:val="28"/>
        </w:rPr>
        <w:t>ривожланган мамлакатларда малака ошириш дастурларини ташкил этиш</w:t>
      </w:r>
      <w:r w:rsidR="00D364ED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 w:rsidRPr="007C4E8A">
        <w:rPr>
          <w:rFonts w:ascii="Times New Roman" w:eastAsia="Arial" w:hAnsi="Times New Roman" w:cs="Times New Roman"/>
          <w:noProof/>
          <w:sz w:val="28"/>
          <w:szCs w:val="28"/>
        </w:rPr>
        <w:t xml:space="preserve"> (CIA, ACCA Internal Audit, ва ҳ.к.)</w:t>
      </w:r>
      <w:r w:rsidR="002B3A9D">
        <w:rPr>
          <w:rFonts w:ascii="Times New Roman" w:eastAsia="Arial" w:hAnsi="Times New Roman" w:cs="Times New Roman"/>
          <w:noProof/>
          <w:sz w:val="28"/>
          <w:szCs w:val="28"/>
        </w:rPr>
        <w:t>;</w:t>
      </w:r>
    </w:p>
    <w:p w14:paraId="04E72D13" w14:textId="4EB6BB4C" w:rsidR="00D364ED" w:rsidRDefault="00E65694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э</w:t>
      </w:r>
      <w:r w:rsidRPr="00E65694">
        <w:rPr>
          <w:rFonts w:ascii="Times New Roman" w:eastAsia="Arial" w:hAnsi="Times New Roman" w:cs="Times New Roman"/>
          <w:noProof/>
          <w:sz w:val="28"/>
          <w:szCs w:val="28"/>
        </w:rPr>
        <w:t>тик ҳолатлар бўйича аноним мурожаат платформасини жорий қилиш</w:t>
      </w: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 w:rsidRPr="00E65694">
        <w:rPr>
          <w:rFonts w:ascii="Times New Roman" w:eastAsia="Arial" w:hAnsi="Times New Roman" w:cs="Times New Roman"/>
          <w:i/>
          <w:iCs/>
          <w:noProof/>
          <w:sz w:val="26"/>
          <w:szCs w:val="26"/>
        </w:rPr>
        <w:t>(</w:t>
      </w:r>
      <w:r w:rsidR="00663956">
        <w:rPr>
          <w:rFonts w:ascii="Times New Roman" w:eastAsia="Arial" w:hAnsi="Times New Roman" w:cs="Times New Roman"/>
          <w:i/>
          <w:iCs/>
          <w:noProof/>
          <w:sz w:val="26"/>
          <w:szCs w:val="26"/>
        </w:rPr>
        <w:t>с</w:t>
      </w:r>
      <w:r w:rsidRPr="00E65694">
        <w:rPr>
          <w:rFonts w:ascii="Times New Roman" w:eastAsia="Arial" w:hAnsi="Times New Roman" w:cs="Times New Roman"/>
          <w:i/>
          <w:iCs/>
          <w:noProof/>
          <w:sz w:val="26"/>
          <w:szCs w:val="26"/>
        </w:rPr>
        <w:t>амара: Очиқлик, холислик ва ишонч ортиши)</w:t>
      </w:r>
      <w:r w:rsidR="002B3A9D">
        <w:rPr>
          <w:rFonts w:ascii="Times New Roman" w:eastAsia="Arial" w:hAnsi="Times New Roman" w:cs="Times New Roman"/>
          <w:noProof/>
          <w:sz w:val="28"/>
          <w:szCs w:val="28"/>
        </w:rPr>
        <w:t>;</w:t>
      </w:r>
    </w:p>
    <w:p w14:paraId="3716B1B4" w14:textId="2444550F" w:rsidR="00212D05" w:rsidRDefault="00212D05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а</w:t>
      </w:r>
      <w:r w:rsidRPr="00212D05">
        <w:rPr>
          <w:rFonts w:ascii="Times New Roman" w:eastAsia="Arial" w:hAnsi="Times New Roman" w:cs="Times New Roman"/>
          <w:noProof/>
          <w:sz w:val="28"/>
          <w:szCs w:val="28"/>
        </w:rPr>
        <w:t>удит ва хавфларни бошқариш бўлимлари ўртасида маълумот алмашувини автоматлаштириш</w:t>
      </w:r>
      <w:r w:rsidR="002B3A9D">
        <w:rPr>
          <w:rFonts w:ascii="Times New Roman" w:eastAsia="Arial" w:hAnsi="Times New Roman" w:cs="Times New Roman"/>
          <w:noProof/>
          <w:sz w:val="28"/>
          <w:szCs w:val="28"/>
        </w:rPr>
        <w:t>;</w:t>
      </w:r>
    </w:p>
    <w:p w14:paraId="08EE1710" w14:textId="653BF02B" w:rsidR="002B3A9D" w:rsidRDefault="002B3A9D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ҳ</w:t>
      </w:r>
      <w:r w:rsidRPr="002B3A9D">
        <w:rPr>
          <w:rFonts w:ascii="Times New Roman" w:eastAsia="Arial" w:hAnsi="Times New Roman" w:cs="Times New Roman"/>
          <w:noProof/>
          <w:sz w:val="28"/>
          <w:szCs w:val="28"/>
        </w:rPr>
        <w:t>ар бир ҳисоботга QR-код бириктириш, у орқали ҳисоботни рақамли кўриш ва тасдиқлаш</w:t>
      </w:r>
      <w:r>
        <w:rPr>
          <w:rFonts w:ascii="Times New Roman" w:eastAsia="Arial" w:hAnsi="Times New Roman" w:cs="Times New Roman"/>
          <w:noProof/>
          <w:sz w:val="28"/>
          <w:szCs w:val="28"/>
        </w:rPr>
        <w:t>.</w:t>
      </w:r>
    </w:p>
    <w:p w14:paraId="6BD0D338" w14:textId="112D1912" w:rsidR="00C50E13" w:rsidRPr="00C50E13" w:rsidRDefault="00C50E13" w:rsidP="00C50E13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lastRenderedPageBreak/>
        <w:t>1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1</w:t>
      </w:r>
      <w:r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хизмати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ходимларининг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самарадорлигини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баҳолаш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натижалари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6D60BC04" w14:textId="0D05604E" w:rsidR="005D417C" w:rsidRDefault="00CC0FFC" w:rsidP="00CC0FFC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2025 йил </w:t>
      </w:r>
      <w:r w:rsidR="00663956">
        <w:rPr>
          <w:rFonts w:ascii="Times New Roman" w:eastAsia="Arial" w:hAnsi="Times New Roman" w:cs="Times New Roman"/>
          <w:noProof/>
          <w:sz w:val="28"/>
          <w:szCs w:val="28"/>
        </w:rPr>
        <w:t>3</w:t>
      </w: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-чорак даври холатига ички аудит бошқармасида </w:t>
      </w:r>
      <w:r w:rsidR="006639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7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нафар ходимдан иборат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бўлиб хар бир ходим фаолиятини самарадорлигини йиғма кўрсаткичи</w:t>
      </w:r>
      <w:r w:rsidR="00B455F0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="00F85CAB" w:rsidRPr="004A05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100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фоизни </w:t>
      </w:r>
      <w:r w:rsidR="000E2F5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натижани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ташқил қилд</w:t>
      </w:r>
      <w:r w:rsid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7F0E942B" w14:textId="6D573512" w:rsidR="00F85CAB" w:rsidRDefault="00F85CAB" w:rsidP="00CC0FFC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</w:p>
    <w:tbl>
      <w:tblPr>
        <w:tblW w:w="5094" w:type="pct"/>
        <w:tblInd w:w="-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748"/>
        <w:gridCol w:w="2748"/>
      </w:tblGrid>
      <w:tr w:rsidR="000D6223" w:rsidRPr="000D6223" w14:paraId="00F847DB" w14:textId="77777777" w:rsidTr="005B48E7">
        <w:trPr>
          <w:trHeight w:val="327"/>
        </w:trPr>
        <w:tc>
          <w:tcPr>
            <w:tcW w:w="22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BA5396" w14:textId="61BA112B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  <w:t>________________________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54875" w14:textId="76E4328E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iCs/>
                <w:noProof/>
                <w:color w:val="FFFFFF" w:themeColor="background1"/>
                <w:sz w:val="27"/>
                <w:szCs w:val="27"/>
              </w:rPr>
              <w:t>___________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59755E" w14:textId="1816C3B1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  <w:t>_____________</w:t>
            </w:r>
          </w:p>
        </w:tc>
      </w:tr>
      <w:tr w:rsidR="000D6223" w:rsidRPr="000D6223" w14:paraId="018846E3" w14:textId="77777777" w:rsidTr="005B48E7">
        <w:trPr>
          <w:trHeight w:val="134"/>
        </w:trPr>
        <w:tc>
          <w:tcPr>
            <w:tcW w:w="22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95295" w14:textId="061D55BF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 xml:space="preserve">Ички аудит хизмати раҳбари </w:t>
            </w: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  <w:sz w:val="27"/>
                <w:szCs w:val="27"/>
              </w:rPr>
              <w:br/>
            </w: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>(ФИО)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11F68C" w14:textId="65444EC2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>(имзо)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2C24AF" w14:textId="4CB762F5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>(кун, ой, йил)</w:t>
            </w:r>
          </w:p>
        </w:tc>
      </w:tr>
    </w:tbl>
    <w:p w14:paraId="459BF2B1" w14:textId="77777777" w:rsidR="00F85CAB" w:rsidRPr="000D6223" w:rsidRDefault="00F85CAB" w:rsidP="00CC0FFC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color w:val="FFFFFF" w:themeColor="background1"/>
          <w:sz w:val="28"/>
          <w:szCs w:val="28"/>
        </w:rPr>
      </w:pPr>
    </w:p>
    <w:sectPr w:rsidR="00F85CAB" w:rsidRPr="000D6223" w:rsidSect="00F42976">
      <w:pgSz w:w="11906" w:h="16838"/>
      <w:pgMar w:top="568" w:right="850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A73"/>
    <w:multiLevelType w:val="hybridMultilevel"/>
    <w:tmpl w:val="2596720E"/>
    <w:lvl w:ilvl="0" w:tplc="F1E44FA0">
      <w:start w:val="202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C"/>
    <w:rsid w:val="00000964"/>
    <w:rsid w:val="0000239C"/>
    <w:rsid w:val="00005EBB"/>
    <w:rsid w:val="000161D7"/>
    <w:rsid w:val="00016F94"/>
    <w:rsid w:val="00017B58"/>
    <w:rsid w:val="000205CF"/>
    <w:rsid w:val="0002736E"/>
    <w:rsid w:val="00040A44"/>
    <w:rsid w:val="00041176"/>
    <w:rsid w:val="00043554"/>
    <w:rsid w:val="00044554"/>
    <w:rsid w:val="00050D35"/>
    <w:rsid w:val="000525BE"/>
    <w:rsid w:val="00053184"/>
    <w:rsid w:val="00055FDA"/>
    <w:rsid w:val="00056286"/>
    <w:rsid w:val="00057371"/>
    <w:rsid w:val="0006066D"/>
    <w:rsid w:val="00061E81"/>
    <w:rsid w:val="00066973"/>
    <w:rsid w:val="00070944"/>
    <w:rsid w:val="00082EB1"/>
    <w:rsid w:val="000854A1"/>
    <w:rsid w:val="000914DC"/>
    <w:rsid w:val="00092B45"/>
    <w:rsid w:val="00093044"/>
    <w:rsid w:val="00096A94"/>
    <w:rsid w:val="000A5C66"/>
    <w:rsid w:val="000B6712"/>
    <w:rsid w:val="000C0D3D"/>
    <w:rsid w:val="000C342A"/>
    <w:rsid w:val="000C5C6C"/>
    <w:rsid w:val="000C71C3"/>
    <w:rsid w:val="000D2345"/>
    <w:rsid w:val="000D2A38"/>
    <w:rsid w:val="000D59A2"/>
    <w:rsid w:val="000D6223"/>
    <w:rsid w:val="000D6380"/>
    <w:rsid w:val="000E08C4"/>
    <w:rsid w:val="000E2F5A"/>
    <w:rsid w:val="000F140C"/>
    <w:rsid w:val="000F5048"/>
    <w:rsid w:val="000F73EB"/>
    <w:rsid w:val="00100745"/>
    <w:rsid w:val="001032A1"/>
    <w:rsid w:val="00105B95"/>
    <w:rsid w:val="00106B5D"/>
    <w:rsid w:val="001128D1"/>
    <w:rsid w:val="001203A9"/>
    <w:rsid w:val="00121453"/>
    <w:rsid w:val="00122495"/>
    <w:rsid w:val="00132847"/>
    <w:rsid w:val="00133892"/>
    <w:rsid w:val="00141D9F"/>
    <w:rsid w:val="00144F3B"/>
    <w:rsid w:val="00145A38"/>
    <w:rsid w:val="00151180"/>
    <w:rsid w:val="001636B6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55F0"/>
    <w:rsid w:val="001E6ABF"/>
    <w:rsid w:val="001F1AD1"/>
    <w:rsid w:val="00212D05"/>
    <w:rsid w:val="0022077D"/>
    <w:rsid w:val="00223190"/>
    <w:rsid w:val="00237E59"/>
    <w:rsid w:val="00245625"/>
    <w:rsid w:val="00264485"/>
    <w:rsid w:val="00267D8F"/>
    <w:rsid w:val="0027673E"/>
    <w:rsid w:val="00281FA5"/>
    <w:rsid w:val="002868BA"/>
    <w:rsid w:val="00291136"/>
    <w:rsid w:val="00293C4F"/>
    <w:rsid w:val="00293D4A"/>
    <w:rsid w:val="00293E98"/>
    <w:rsid w:val="00297A6D"/>
    <w:rsid w:val="00297D10"/>
    <w:rsid w:val="002A1BD6"/>
    <w:rsid w:val="002B3A9D"/>
    <w:rsid w:val="002C7247"/>
    <w:rsid w:val="002D0C3F"/>
    <w:rsid w:val="002D2849"/>
    <w:rsid w:val="002D4A8E"/>
    <w:rsid w:val="002E2919"/>
    <w:rsid w:val="002E5A01"/>
    <w:rsid w:val="002E7C2A"/>
    <w:rsid w:val="0030185D"/>
    <w:rsid w:val="00311847"/>
    <w:rsid w:val="00315C43"/>
    <w:rsid w:val="00334887"/>
    <w:rsid w:val="00336AA1"/>
    <w:rsid w:val="00341043"/>
    <w:rsid w:val="00363BC2"/>
    <w:rsid w:val="00363F6D"/>
    <w:rsid w:val="00374CD8"/>
    <w:rsid w:val="00375355"/>
    <w:rsid w:val="00384AF9"/>
    <w:rsid w:val="00397A70"/>
    <w:rsid w:val="003A7DC6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3F3756"/>
    <w:rsid w:val="0040144B"/>
    <w:rsid w:val="00411599"/>
    <w:rsid w:val="004175FC"/>
    <w:rsid w:val="00425F23"/>
    <w:rsid w:val="00432040"/>
    <w:rsid w:val="004444DD"/>
    <w:rsid w:val="00446833"/>
    <w:rsid w:val="00453E23"/>
    <w:rsid w:val="004605D9"/>
    <w:rsid w:val="00471322"/>
    <w:rsid w:val="00472FF7"/>
    <w:rsid w:val="0047344D"/>
    <w:rsid w:val="00473586"/>
    <w:rsid w:val="00474E43"/>
    <w:rsid w:val="004754C1"/>
    <w:rsid w:val="00475E96"/>
    <w:rsid w:val="00476195"/>
    <w:rsid w:val="00477E21"/>
    <w:rsid w:val="00482A1F"/>
    <w:rsid w:val="00485098"/>
    <w:rsid w:val="00487C5F"/>
    <w:rsid w:val="00493174"/>
    <w:rsid w:val="004A0509"/>
    <w:rsid w:val="004A090C"/>
    <w:rsid w:val="004C28FD"/>
    <w:rsid w:val="004C6742"/>
    <w:rsid w:val="004D30C1"/>
    <w:rsid w:val="004D5F5C"/>
    <w:rsid w:val="004F28BF"/>
    <w:rsid w:val="0050338A"/>
    <w:rsid w:val="0051280C"/>
    <w:rsid w:val="00514E18"/>
    <w:rsid w:val="00526FCC"/>
    <w:rsid w:val="005351D4"/>
    <w:rsid w:val="00544C6E"/>
    <w:rsid w:val="0055675C"/>
    <w:rsid w:val="005609B4"/>
    <w:rsid w:val="00574C07"/>
    <w:rsid w:val="005759FE"/>
    <w:rsid w:val="00582A16"/>
    <w:rsid w:val="00583E73"/>
    <w:rsid w:val="0058489B"/>
    <w:rsid w:val="005919A3"/>
    <w:rsid w:val="005A0479"/>
    <w:rsid w:val="005A57A7"/>
    <w:rsid w:val="005A705F"/>
    <w:rsid w:val="005B0885"/>
    <w:rsid w:val="005B267C"/>
    <w:rsid w:val="005B269A"/>
    <w:rsid w:val="005B513F"/>
    <w:rsid w:val="005C377E"/>
    <w:rsid w:val="005C42C6"/>
    <w:rsid w:val="005D417C"/>
    <w:rsid w:val="005D76CC"/>
    <w:rsid w:val="005F6D92"/>
    <w:rsid w:val="005F7B7E"/>
    <w:rsid w:val="00600357"/>
    <w:rsid w:val="00603B1B"/>
    <w:rsid w:val="006056A2"/>
    <w:rsid w:val="006067A0"/>
    <w:rsid w:val="00607523"/>
    <w:rsid w:val="00610614"/>
    <w:rsid w:val="006127E4"/>
    <w:rsid w:val="00634997"/>
    <w:rsid w:val="00634F8A"/>
    <w:rsid w:val="00635BFA"/>
    <w:rsid w:val="00643F61"/>
    <w:rsid w:val="00645BBB"/>
    <w:rsid w:val="00656CF9"/>
    <w:rsid w:val="006578CD"/>
    <w:rsid w:val="00663956"/>
    <w:rsid w:val="0067408D"/>
    <w:rsid w:val="00691CB0"/>
    <w:rsid w:val="00695456"/>
    <w:rsid w:val="006977EC"/>
    <w:rsid w:val="006A275D"/>
    <w:rsid w:val="006C618E"/>
    <w:rsid w:val="006D04D8"/>
    <w:rsid w:val="006E3AC0"/>
    <w:rsid w:val="006F0397"/>
    <w:rsid w:val="006F5DDA"/>
    <w:rsid w:val="006F6D9D"/>
    <w:rsid w:val="00705A5E"/>
    <w:rsid w:val="00705C9C"/>
    <w:rsid w:val="00710D57"/>
    <w:rsid w:val="00714262"/>
    <w:rsid w:val="00715953"/>
    <w:rsid w:val="00724F91"/>
    <w:rsid w:val="00732E67"/>
    <w:rsid w:val="007563B3"/>
    <w:rsid w:val="007616FF"/>
    <w:rsid w:val="00762E33"/>
    <w:rsid w:val="0077435D"/>
    <w:rsid w:val="0078197B"/>
    <w:rsid w:val="00795907"/>
    <w:rsid w:val="00795B39"/>
    <w:rsid w:val="007979E7"/>
    <w:rsid w:val="007A067A"/>
    <w:rsid w:val="007A3F3D"/>
    <w:rsid w:val="007B2364"/>
    <w:rsid w:val="007C2EC6"/>
    <w:rsid w:val="007C4E8A"/>
    <w:rsid w:val="007C7E32"/>
    <w:rsid w:val="007D7F9C"/>
    <w:rsid w:val="007E7038"/>
    <w:rsid w:val="00804867"/>
    <w:rsid w:val="00812956"/>
    <w:rsid w:val="00814E7F"/>
    <w:rsid w:val="0082261E"/>
    <w:rsid w:val="0082512F"/>
    <w:rsid w:val="008273DD"/>
    <w:rsid w:val="0083198A"/>
    <w:rsid w:val="00835F6E"/>
    <w:rsid w:val="0084505D"/>
    <w:rsid w:val="00861C65"/>
    <w:rsid w:val="00865D21"/>
    <w:rsid w:val="008800DC"/>
    <w:rsid w:val="00882D16"/>
    <w:rsid w:val="00892770"/>
    <w:rsid w:val="0089473A"/>
    <w:rsid w:val="00897E0B"/>
    <w:rsid w:val="008A2626"/>
    <w:rsid w:val="008A53D6"/>
    <w:rsid w:val="008B08B7"/>
    <w:rsid w:val="008B40AF"/>
    <w:rsid w:val="008C37ED"/>
    <w:rsid w:val="008D1C59"/>
    <w:rsid w:val="008E1B42"/>
    <w:rsid w:val="008E40F2"/>
    <w:rsid w:val="008E4E35"/>
    <w:rsid w:val="008E4ECE"/>
    <w:rsid w:val="008E5667"/>
    <w:rsid w:val="008E5B9D"/>
    <w:rsid w:val="008E6128"/>
    <w:rsid w:val="008F1648"/>
    <w:rsid w:val="008F380D"/>
    <w:rsid w:val="00901736"/>
    <w:rsid w:val="009151E6"/>
    <w:rsid w:val="0091542A"/>
    <w:rsid w:val="00917A93"/>
    <w:rsid w:val="00920596"/>
    <w:rsid w:val="009218CB"/>
    <w:rsid w:val="00934BBA"/>
    <w:rsid w:val="00942926"/>
    <w:rsid w:val="00943CB8"/>
    <w:rsid w:val="009508DE"/>
    <w:rsid w:val="0095599C"/>
    <w:rsid w:val="00963762"/>
    <w:rsid w:val="00965458"/>
    <w:rsid w:val="009711C3"/>
    <w:rsid w:val="009719E2"/>
    <w:rsid w:val="009847C2"/>
    <w:rsid w:val="0098505B"/>
    <w:rsid w:val="0099105B"/>
    <w:rsid w:val="00996D72"/>
    <w:rsid w:val="009A288B"/>
    <w:rsid w:val="009B4F72"/>
    <w:rsid w:val="009D2B29"/>
    <w:rsid w:val="009D2E29"/>
    <w:rsid w:val="009D5994"/>
    <w:rsid w:val="009E024F"/>
    <w:rsid w:val="009E14E7"/>
    <w:rsid w:val="009E500D"/>
    <w:rsid w:val="009E6458"/>
    <w:rsid w:val="009F17D5"/>
    <w:rsid w:val="009F648F"/>
    <w:rsid w:val="00A06E1C"/>
    <w:rsid w:val="00A14D2F"/>
    <w:rsid w:val="00A161D1"/>
    <w:rsid w:val="00A167FB"/>
    <w:rsid w:val="00A34A92"/>
    <w:rsid w:val="00A52329"/>
    <w:rsid w:val="00A63E47"/>
    <w:rsid w:val="00A74FA3"/>
    <w:rsid w:val="00A90E1D"/>
    <w:rsid w:val="00A96203"/>
    <w:rsid w:val="00AB13E4"/>
    <w:rsid w:val="00AD3492"/>
    <w:rsid w:val="00AE23E6"/>
    <w:rsid w:val="00AE4272"/>
    <w:rsid w:val="00AE4A66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43EA4"/>
    <w:rsid w:val="00B44A8B"/>
    <w:rsid w:val="00B455F0"/>
    <w:rsid w:val="00B45DB4"/>
    <w:rsid w:val="00B46C18"/>
    <w:rsid w:val="00B5333F"/>
    <w:rsid w:val="00B64294"/>
    <w:rsid w:val="00B65AD0"/>
    <w:rsid w:val="00B77382"/>
    <w:rsid w:val="00B8509D"/>
    <w:rsid w:val="00B8798A"/>
    <w:rsid w:val="00B928AF"/>
    <w:rsid w:val="00B97A36"/>
    <w:rsid w:val="00BA2B31"/>
    <w:rsid w:val="00BA5594"/>
    <w:rsid w:val="00BA701F"/>
    <w:rsid w:val="00BB1631"/>
    <w:rsid w:val="00BB6A94"/>
    <w:rsid w:val="00BB7833"/>
    <w:rsid w:val="00BB7AA1"/>
    <w:rsid w:val="00BC323E"/>
    <w:rsid w:val="00BC64D6"/>
    <w:rsid w:val="00BE2C7E"/>
    <w:rsid w:val="00BE3CE8"/>
    <w:rsid w:val="00BF1563"/>
    <w:rsid w:val="00BF1A10"/>
    <w:rsid w:val="00BF70A7"/>
    <w:rsid w:val="00C0422F"/>
    <w:rsid w:val="00C0796B"/>
    <w:rsid w:val="00C14B3C"/>
    <w:rsid w:val="00C15E35"/>
    <w:rsid w:val="00C32906"/>
    <w:rsid w:val="00C34379"/>
    <w:rsid w:val="00C343D1"/>
    <w:rsid w:val="00C344C7"/>
    <w:rsid w:val="00C45ECA"/>
    <w:rsid w:val="00C50E13"/>
    <w:rsid w:val="00C5619A"/>
    <w:rsid w:val="00C56334"/>
    <w:rsid w:val="00C72367"/>
    <w:rsid w:val="00C8062D"/>
    <w:rsid w:val="00C81D58"/>
    <w:rsid w:val="00C95060"/>
    <w:rsid w:val="00C97D43"/>
    <w:rsid w:val="00CA0446"/>
    <w:rsid w:val="00CA18B6"/>
    <w:rsid w:val="00CB02D7"/>
    <w:rsid w:val="00CB089E"/>
    <w:rsid w:val="00CB55F2"/>
    <w:rsid w:val="00CB59D3"/>
    <w:rsid w:val="00CC0FFC"/>
    <w:rsid w:val="00CC6057"/>
    <w:rsid w:val="00CE5536"/>
    <w:rsid w:val="00CE6D72"/>
    <w:rsid w:val="00CF26DF"/>
    <w:rsid w:val="00CF27DE"/>
    <w:rsid w:val="00D02367"/>
    <w:rsid w:val="00D12B94"/>
    <w:rsid w:val="00D1660D"/>
    <w:rsid w:val="00D2445B"/>
    <w:rsid w:val="00D26BC7"/>
    <w:rsid w:val="00D36361"/>
    <w:rsid w:val="00D364ED"/>
    <w:rsid w:val="00D54832"/>
    <w:rsid w:val="00D54DCD"/>
    <w:rsid w:val="00D63E26"/>
    <w:rsid w:val="00D645EA"/>
    <w:rsid w:val="00D73920"/>
    <w:rsid w:val="00D8257F"/>
    <w:rsid w:val="00D83703"/>
    <w:rsid w:val="00D858EC"/>
    <w:rsid w:val="00D869C4"/>
    <w:rsid w:val="00D912BE"/>
    <w:rsid w:val="00D94168"/>
    <w:rsid w:val="00D95EF2"/>
    <w:rsid w:val="00DA02D2"/>
    <w:rsid w:val="00DA3586"/>
    <w:rsid w:val="00DA5453"/>
    <w:rsid w:val="00DB08E0"/>
    <w:rsid w:val="00DB4240"/>
    <w:rsid w:val="00DC3F78"/>
    <w:rsid w:val="00DC7BEF"/>
    <w:rsid w:val="00DD35D3"/>
    <w:rsid w:val="00DD3C7B"/>
    <w:rsid w:val="00DD7DF4"/>
    <w:rsid w:val="00DE1B87"/>
    <w:rsid w:val="00DE2C03"/>
    <w:rsid w:val="00DE2C1A"/>
    <w:rsid w:val="00DF294E"/>
    <w:rsid w:val="00E04081"/>
    <w:rsid w:val="00E04803"/>
    <w:rsid w:val="00E05A07"/>
    <w:rsid w:val="00E20C4D"/>
    <w:rsid w:val="00E27D97"/>
    <w:rsid w:val="00E30BED"/>
    <w:rsid w:val="00E310B6"/>
    <w:rsid w:val="00E36DDB"/>
    <w:rsid w:val="00E437B2"/>
    <w:rsid w:val="00E53E72"/>
    <w:rsid w:val="00E646FC"/>
    <w:rsid w:val="00E65694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0BE3"/>
    <w:rsid w:val="00EE2457"/>
    <w:rsid w:val="00EE6A56"/>
    <w:rsid w:val="00EF2351"/>
    <w:rsid w:val="00EF3DBC"/>
    <w:rsid w:val="00EF5FD7"/>
    <w:rsid w:val="00F07201"/>
    <w:rsid w:val="00F12DE7"/>
    <w:rsid w:val="00F13C3F"/>
    <w:rsid w:val="00F25402"/>
    <w:rsid w:val="00F27086"/>
    <w:rsid w:val="00F271A8"/>
    <w:rsid w:val="00F351E6"/>
    <w:rsid w:val="00F405D1"/>
    <w:rsid w:val="00F42976"/>
    <w:rsid w:val="00F46ACB"/>
    <w:rsid w:val="00F51E6E"/>
    <w:rsid w:val="00F53165"/>
    <w:rsid w:val="00F53976"/>
    <w:rsid w:val="00F540CC"/>
    <w:rsid w:val="00F579DB"/>
    <w:rsid w:val="00F57D5C"/>
    <w:rsid w:val="00F60964"/>
    <w:rsid w:val="00F60F07"/>
    <w:rsid w:val="00F77DB1"/>
    <w:rsid w:val="00F85CAB"/>
    <w:rsid w:val="00F85D27"/>
    <w:rsid w:val="00FA14D6"/>
    <w:rsid w:val="00FA2464"/>
    <w:rsid w:val="00FA43E6"/>
    <w:rsid w:val="00FA4AC6"/>
    <w:rsid w:val="00FB58F7"/>
    <w:rsid w:val="00FC6398"/>
    <w:rsid w:val="00FC6A99"/>
    <w:rsid w:val="00FD036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0707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B5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6FF6-A1D7-4B72-8D39-392A9B41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User</cp:lastModifiedBy>
  <cp:revision>45</cp:revision>
  <cp:lastPrinted>2024-06-27T11:15:00Z</cp:lastPrinted>
  <dcterms:created xsi:type="dcterms:W3CDTF">2025-06-12T10:37:00Z</dcterms:created>
  <dcterms:modified xsi:type="dcterms:W3CDTF">2025-10-10T15:18:00Z</dcterms:modified>
</cp:coreProperties>
</file>